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rPr>
          <w:rFonts w:hint="eastAsia" w:asciiTheme="minorEastAsia" w:hAnsiTheme="minorEastAsia" w:eastAsiaTheme="minorEastAsia" w:cstheme="minorEastAsia"/>
          <w:kern w:val="1"/>
          <w:sz w:val="44"/>
          <w:szCs w:val="44"/>
        </w:rPr>
      </w:pPr>
    </w:p>
    <w:p w14:paraId="4BBD4E7E">
      <w:pPr>
        <w:pStyle w:val="2"/>
        <w:rPr>
          <w:rFonts w:hint="eastAsia" w:asciiTheme="minorEastAsia" w:hAnsiTheme="minorEastAsia" w:eastAsiaTheme="minorEastAsia" w:cstheme="minorEastAsia"/>
          <w:kern w:val="1"/>
          <w:sz w:val="44"/>
          <w:szCs w:val="44"/>
        </w:rPr>
      </w:pPr>
    </w:p>
    <w:p w14:paraId="3A8BF5C3">
      <w:pPr>
        <w:pStyle w:val="2"/>
        <w:ind w:firstLine="1215" w:firstLineChars="300"/>
        <w:jc w:val="both"/>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电控-铜基新材料控制柜体及附件</w:t>
      </w:r>
    </w:p>
    <w:p w14:paraId="5B1DEC59">
      <w:pPr>
        <w:pStyle w:val="2"/>
        <w:jc w:val="both"/>
        <w:rPr>
          <w:rFonts w:hint="eastAsia" w:asciiTheme="minorEastAsia" w:hAnsiTheme="minorEastAsia" w:eastAsiaTheme="minorEastAsia" w:cstheme="minorEastAsia"/>
          <w:b/>
          <w:bCs/>
          <w:sz w:val="40"/>
          <w:szCs w:val="40"/>
          <w:lang w:val="en-US" w:eastAsia="zh-CN"/>
        </w:rPr>
      </w:pPr>
    </w:p>
    <w:p w14:paraId="0A712830">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3E9D2F7C">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4165</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2985F7F7">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highlight w:val="none"/>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31</w:t>
      </w:r>
      <w:r>
        <w:rPr>
          <w:rFonts w:hint="eastAsia" w:ascii="仿宋" w:hAnsi="仿宋" w:eastAsia="仿宋" w:cs="仿宋"/>
          <w:sz w:val="24"/>
          <w:szCs w:val="24"/>
          <w:highlight w:val="none"/>
          <w:u w:val="single"/>
        </w:rPr>
        <w:t>日</w:t>
      </w:r>
    </w:p>
    <w:p w14:paraId="607311A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b w:val="0"/>
          <w:bCs w:val="0"/>
          <w:sz w:val="24"/>
          <w:szCs w:val="24"/>
          <w:u w:val="single"/>
          <w:lang w:val="en-US" w:eastAsia="zh-CN"/>
        </w:rPr>
        <w:t>电控-铜基新材料控制柜体及附件</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30</w:t>
      </w:r>
      <w:r>
        <w:rPr>
          <w:rFonts w:hint="eastAsia" w:ascii="仿宋" w:hAnsi="仿宋" w:eastAsia="仿宋" w:cs="仿宋"/>
          <w:sz w:val="24"/>
          <w:szCs w:val="24"/>
          <w:highlight w:val="none"/>
          <w:u w:val="single"/>
        </w:rPr>
        <w:t>日1</w:t>
      </w:r>
      <w:r>
        <w:rPr>
          <w:rFonts w:hint="eastAsia" w:ascii="仿宋" w:hAnsi="仿宋" w:eastAsia="仿宋" w:cs="仿宋"/>
          <w:sz w:val="24"/>
          <w:szCs w:val="24"/>
          <w:highlight w:val="none"/>
          <w:u w:val="single"/>
          <w:lang w:val="en-US" w:eastAsia="zh-CN"/>
        </w:rPr>
        <w:t>5</w:t>
      </w:r>
      <w:r>
        <w:rPr>
          <w:rFonts w:hint="eastAsia" w:ascii="仿宋" w:hAnsi="仿宋" w:eastAsia="仿宋" w:cs="仿宋"/>
          <w:sz w:val="24"/>
          <w:szCs w:val="24"/>
          <w:highlight w:val="none"/>
          <w:u w:val="single"/>
        </w:rPr>
        <w:t>:</w:t>
      </w:r>
      <w:r>
        <w:rPr>
          <w:rFonts w:hint="eastAsia" w:ascii="仿宋" w:hAnsi="仿宋" w:eastAsia="仿宋" w:cs="仿宋"/>
          <w:sz w:val="24"/>
          <w:szCs w:val="24"/>
          <w:highlight w:val="none"/>
          <w:u w:val="single"/>
          <w:lang w:val="en-US" w:eastAsia="zh-CN"/>
        </w:rPr>
        <w:t>0</w:t>
      </w:r>
      <w:r>
        <w:rPr>
          <w:rFonts w:hint="eastAsia" w:ascii="仿宋" w:hAnsi="仿宋" w:eastAsia="仿宋" w:cs="仿宋"/>
          <w:sz w:val="24"/>
          <w:szCs w:val="24"/>
          <w:highlight w:val="none"/>
          <w:u w:val="single"/>
        </w:rPr>
        <w:t>0止</w:t>
      </w:r>
      <w:r>
        <w:rPr>
          <w:rFonts w:hint="eastAsia" w:ascii="仿宋" w:hAnsi="仿宋" w:eastAsia="仿宋" w:cs="仿宋"/>
          <w:sz w:val="24"/>
          <w:szCs w:val="24"/>
          <w:highlight w:val="none"/>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highlight w:val="none"/>
          <w:u w:val="single"/>
        </w:rPr>
      </w:pPr>
      <w:r>
        <w:rPr>
          <w:rFonts w:hint="eastAsia" w:ascii="仿宋" w:hAnsi="仿宋" w:eastAsia="仿宋" w:cs="仿宋"/>
          <w:sz w:val="24"/>
          <w:szCs w:val="24"/>
        </w:rPr>
        <w:t>1、投标文件递交的截止时间：</w:t>
      </w:r>
      <w:bookmarkStart w:id="0" w:name="_GoBack"/>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31</w:t>
      </w:r>
      <w:r>
        <w:rPr>
          <w:rFonts w:hint="eastAsia" w:ascii="仿宋" w:hAnsi="仿宋" w:eastAsia="仿宋" w:cs="仿宋"/>
          <w:sz w:val="24"/>
          <w:szCs w:val="24"/>
          <w:highlight w:val="none"/>
          <w:u w:val="single"/>
        </w:rPr>
        <w:t>日9:00</w:t>
      </w:r>
    </w:p>
    <w:bookmarkEnd w:id="0"/>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