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highlight w:val="none"/>
        </w:rPr>
      </w:pPr>
      <w:r>
        <w:rPr>
          <w:rFonts w:ascii="楷体_GB2312" w:hAnsi="宋体" w:eastAsia="楷体_GB2312" w:cs="宋体"/>
          <w:kern w:val="1"/>
          <w:sz w:val="44"/>
          <w:szCs w:val="44"/>
          <w:highlight w:val="none"/>
        </w:rPr>
        <mc:AlternateContent>
          <mc:Choice Requires="wps">
            <w:drawing>
              <wp:anchor distT="0" distB="0" distL="114300" distR="114300" simplePos="0" relativeHeight="251660288"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6192;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h0EmN0AAAAAMBAAAPAAAAAAAAAAEAIAAAACIAAABkcnMv&#10;ZG93bnJldi54bWxQSwECFAAUAAAACACHTuJA8olxHdIBAACkAwAADgAAAAAAAAABACAAAAAfAQAA&#10;ZHJzL2Uyb0RvYy54bWxQSwUGAAAAAAYABgBZAQAAYwU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highlight w:val="none"/>
        </w:rPr>
      </w:pPr>
    </w:p>
    <w:p>
      <w:pPr>
        <w:spacing w:line="560" w:lineRule="exact"/>
        <w:jc w:val="center"/>
        <w:rPr>
          <w:rFonts w:hint="eastAsia" w:ascii="仿宋" w:hAnsi="仿宋" w:eastAsia="仿宋" w:cs="宋体"/>
          <w:b/>
          <w:bCs/>
          <w:kern w:val="1"/>
          <w:sz w:val="44"/>
          <w:szCs w:val="44"/>
          <w:highlight w:val="none"/>
          <w:u w:val="single"/>
          <w:lang w:eastAsia="zh-CN"/>
        </w:rPr>
      </w:pPr>
      <w:r>
        <w:rPr>
          <w:rFonts w:hint="eastAsia" w:ascii="仿宋" w:hAnsi="仿宋" w:eastAsia="仿宋" w:cs="宋体"/>
          <w:b/>
          <w:bCs/>
          <w:kern w:val="1"/>
          <w:sz w:val="44"/>
          <w:szCs w:val="44"/>
          <w:highlight w:val="none"/>
          <w:u w:val="single"/>
        </w:rPr>
        <w:t>铜陵铜冠建安</w:t>
      </w:r>
      <w:r>
        <w:rPr>
          <w:rFonts w:hint="eastAsia" w:ascii="仿宋" w:hAnsi="仿宋" w:eastAsia="仿宋" w:cs="宋体"/>
          <w:b/>
          <w:bCs/>
          <w:kern w:val="1"/>
          <w:sz w:val="44"/>
          <w:szCs w:val="44"/>
          <w:highlight w:val="none"/>
          <w:u w:val="single"/>
          <w:lang w:eastAsia="zh-CN"/>
        </w:rPr>
        <w:t>公司</w:t>
      </w:r>
    </w:p>
    <w:p>
      <w:pPr>
        <w:spacing w:line="560" w:lineRule="exact"/>
        <w:jc w:val="center"/>
        <w:rPr>
          <w:rFonts w:hint="eastAsia" w:ascii="仿宋" w:hAnsi="仿宋" w:eastAsia="仿宋" w:cs="宋体"/>
          <w:b/>
          <w:bCs/>
          <w:kern w:val="1"/>
          <w:sz w:val="44"/>
          <w:szCs w:val="44"/>
          <w:highlight w:val="none"/>
          <w:u w:val="single"/>
          <w:lang w:val="en-US" w:eastAsia="zh-CN"/>
        </w:rPr>
      </w:pPr>
      <w:r>
        <w:rPr>
          <w:rFonts w:hint="eastAsia" w:ascii="仿宋" w:hAnsi="仿宋" w:eastAsia="仿宋" w:cs="宋体"/>
          <w:b/>
          <w:bCs/>
          <w:kern w:val="1"/>
          <w:sz w:val="44"/>
          <w:szCs w:val="44"/>
          <w:highlight w:val="none"/>
          <w:u w:val="single"/>
          <w:lang w:eastAsia="zh-CN"/>
        </w:rPr>
        <w:t>第二事业部全鑫项目水泥、黄砂</w:t>
      </w:r>
    </w:p>
    <w:p>
      <w:pPr>
        <w:tabs>
          <w:tab w:val="left" w:pos="7020"/>
        </w:tabs>
        <w:jc w:val="center"/>
        <w:rPr>
          <w:rFonts w:ascii="仿宋" w:hAnsi="仿宋" w:eastAsia="仿宋" w:cs="宋体"/>
          <w:b/>
          <w:bCs/>
          <w:kern w:val="1"/>
          <w:sz w:val="44"/>
          <w:szCs w:val="44"/>
          <w:highlight w:val="none"/>
          <w:u w:val="single"/>
        </w:rPr>
      </w:pPr>
    </w:p>
    <w:p>
      <w:pPr>
        <w:spacing w:line="560" w:lineRule="exact"/>
        <w:rPr>
          <w:rFonts w:ascii="仿宋" w:hAnsi="仿宋" w:eastAsia="仿宋"/>
          <w:sz w:val="44"/>
          <w:szCs w:val="44"/>
          <w:highlight w:val="none"/>
        </w:rPr>
      </w:pPr>
    </w:p>
    <w:p>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竞价文件</w:t>
      </w:r>
    </w:p>
    <w:p>
      <w:pPr>
        <w:tabs>
          <w:tab w:val="left" w:pos="7020"/>
        </w:tabs>
        <w:spacing w:line="560" w:lineRule="exact"/>
        <w:jc w:val="center"/>
        <w:rPr>
          <w:rFonts w:ascii="仿宋" w:hAnsi="仿宋" w:eastAsia="仿宋"/>
          <w:b/>
          <w:sz w:val="52"/>
          <w:szCs w:val="52"/>
          <w:highlight w:val="none"/>
        </w:rPr>
      </w:pPr>
    </w:p>
    <w:p>
      <w:pPr>
        <w:tabs>
          <w:tab w:val="left" w:pos="7020"/>
        </w:tabs>
        <w:spacing w:line="560" w:lineRule="exact"/>
        <w:jc w:val="center"/>
        <w:rPr>
          <w:rFonts w:ascii="仿宋" w:hAnsi="仿宋" w:eastAsia="仿宋"/>
          <w:b/>
          <w:sz w:val="52"/>
          <w:szCs w:val="52"/>
          <w:highlight w:val="none"/>
        </w:rPr>
      </w:pPr>
    </w:p>
    <w:p>
      <w:pPr>
        <w:spacing w:line="560" w:lineRule="exact"/>
        <w:rPr>
          <w:rFonts w:hint="default" w:ascii="仿宋" w:hAnsi="仿宋" w:eastAsia="仿宋" w:cs="仿宋_GB2312"/>
          <w:b/>
          <w:bCs/>
          <w:sz w:val="32"/>
          <w:szCs w:val="32"/>
          <w:highlight w:val="none"/>
          <w:u w:val="single"/>
          <w:lang w:val="en-US" w:eastAsia="zh-CN"/>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TGJA-WZ-2024</w:t>
      </w:r>
      <w:r>
        <w:rPr>
          <w:rFonts w:hint="eastAsia" w:ascii="仿宋" w:hAnsi="仿宋" w:eastAsia="仿宋" w:cs="仿宋_GB2312"/>
          <w:b/>
          <w:bCs/>
          <w:sz w:val="32"/>
          <w:szCs w:val="32"/>
          <w:highlight w:val="none"/>
          <w:u w:val="single"/>
          <w:lang w:val="en-US" w:eastAsia="zh-CN"/>
        </w:rPr>
        <w:t>-95</w:t>
      </w:r>
    </w:p>
    <w:p>
      <w:pPr>
        <w:spacing w:line="560" w:lineRule="exact"/>
        <w:rPr>
          <w:rFonts w:ascii="仿宋" w:hAnsi="仿宋" w:eastAsia="仿宋" w:cs="仿宋_GB2312"/>
          <w:b/>
          <w:bCs/>
          <w:sz w:val="32"/>
          <w:szCs w:val="32"/>
          <w:highlight w:val="none"/>
          <w:u w:val="single"/>
        </w:rPr>
      </w:pPr>
    </w:p>
    <w:p>
      <w:pPr>
        <w:spacing w:line="560" w:lineRule="exact"/>
        <w:rPr>
          <w:rFonts w:ascii="仿宋" w:hAnsi="仿宋" w:eastAsia="仿宋" w:cs="仿宋_GB2312"/>
          <w:b/>
          <w:bCs/>
          <w:sz w:val="28"/>
          <w:szCs w:val="28"/>
          <w:highlight w:val="none"/>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铜陵有色金属集团铜冠建筑安装股份有限公司（盖章）</w:t>
      </w:r>
    </w:p>
    <w:p>
      <w:pPr>
        <w:spacing w:line="560" w:lineRule="exact"/>
        <w:rPr>
          <w:rFonts w:ascii="仿宋" w:hAnsi="仿宋" w:eastAsia="仿宋" w:cs="仿宋_GB2312"/>
          <w:b/>
          <w:bCs/>
          <w:sz w:val="32"/>
          <w:szCs w:val="32"/>
          <w:highlight w:val="none"/>
        </w:rPr>
      </w:pPr>
    </w:p>
    <w:p>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联 系 人：</w:t>
      </w:r>
      <w:r>
        <w:rPr>
          <w:rFonts w:hint="eastAsia" w:ascii="仿宋" w:hAnsi="仿宋" w:eastAsia="仿宋" w:cs="仿宋_GB2312"/>
          <w:b/>
          <w:bCs/>
          <w:sz w:val="32"/>
          <w:szCs w:val="32"/>
          <w:highlight w:val="none"/>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highlight w:val="none"/>
          <w:u w:val="single"/>
        </w:rPr>
      </w:pPr>
    </w:p>
    <w:p>
      <w:pPr>
        <w:tabs>
          <w:tab w:val="left" w:pos="7020"/>
        </w:tabs>
        <w:snapToGrid w:val="0"/>
        <w:spacing w:line="560" w:lineRule="exact"/>
        <w:jc w:val="left"/>
        <w:rPr>
          <w:rFonts w:ascii="仿宋" w:hAnsi="仿宋" w:eastAsia="仿宋" w:cs="仿宋_GB2312"/>
          <w:b/>
          <w:bCs/>
          <w:sz w:val="32"/>
          <w:szCs w:val="32"/>
          <w:highlight w:val="none"/>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360" w:lineRule="auto"/>
        <w:rPr>
          <w:rFonts w:ascii="仿宋" w:hAnsi="仿宋" w:eastAsia="仿宋" w:cs="仿宋_GB2312"/>
          <w:b/>
          <w:bCs/>
          <w:sz w:val="24"/>
          <w:highlight w:val="none"/>
        </w:rPr>
      </w:pPr>
      <w:r>
        <w:rPr>
          <w:rFonts w:hint="eastAsia" w:ascii="仿宋" w:hAnsi="仿宋" w:eastAsia="仿宋" w:cs="仿宋_GB2312"/>
          <w:b/>
          <w:bCs/>
          <w:sz w:val="24"/>
          <w:highlight w:val="none"/>
        </w:rPr>
        <w:t>【声明】</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2、公开招标（竞价）为不见面开标。</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一、</w:t>
      </w:r>
      <w:r>
        <w:rPr>
          <w:rFonts w:hint="eastAsia" w:ascii="仿宋" w:hAnsi="仿宋" w:eastAsia="仿宋" w:cs="仿宋_GB2312"/>
          <w:b/>
          <w:sz w:val="24"/>
          <w:highlight w:val="none"/>
          <w:lang w:eastAsia="zh-CN"/>
        </w:rPr>
        <w:t>竞价</w:t>
      </w:r>
      <w:r>
        <w:rPr>
          <w:rFonts w:hint="eastAsia" w:ascii="仿宋" w:hAnsi="仿宋" w:eastAsia="仿宋" w:cs="仿宋_GB2312"/>
          <w:b/>
          <w:sz w:val="24"/>
          <w:highlight w:val="none"/>
        </w:rPr>
        <w:t>日程安排</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4、开标时间：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5、发中标通知书时间：另行通知</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6、签订合同时间：另行通知</w:t>
      </w:r>
    </w:p>
    <w:p>
      <w:pPr>
        <w:spacing w:line="360" w:lineRule="auto"/>
        <w:ind w:firstLine="480" w:firstLineChars="200"/>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二、招标内容</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w:t>
      </w:r>
      <w:r>
        <w:rPr>
          <w:rFonts w:hint="eastAsia" w:ascii="仿宋" w:hAnsi="仿宋" w:eastAsia="仿宋" w:cs="仿宋_GB2312"/>
          <w:sz w:val="24"/>
          <w:highlight w:val="none"/>
          <w:u w:val="single"/>
        </w:rPr>
        <w:t>本次</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的具体内容如下：</w:t>
      </w:r>
    </w:p>
    <w:p>
      <w:pPr>
        <w:spacing w:line="360" w:lineRule="auto"/>
        <w:ind w:firstLine="776" w:firstLineChars="400"/>
        <w:rPr>
          <w:rFonts w:ascii="仿宋" w:hAnsi="仿宋" w:eastAsia="仿宋" w:cs="仿宋_GB2312"/>
          <w:spacing w:val="-23"/>
          <w:sz w:val="24"/>
          <w:highlight w:val="none"/>
          <w:u w:val="single"/>
        </w:rPr>
      </w:pPr>
      <w:r>
        <w:rPr>
          <w:rFonts w:hint="eastAsia" w:ascii="仿宋" w:hAnsi="仿宋" w:eastAsia="仿宋" w:cs="仿宋_GB2312"/>
          <w:spacing w:val="-23"/>
          <w:sz w:val="24"/>
          <w:highlight w:val="none"/>
          <w:u w:val="single"/>
        </w:rPr>
        <w:t>详见报价单。</w:t>
      </w:r>
    </w:p>
    <w:p>
      <w:pPr>
        <w:spacing w:line="360" w:lineRule="auto"/>
        <w:ind w:firstLine="388" w:firstLineChars="200"/>
        <w:rPr>
          <w:rFonts w:ascii="仿宋" w:hAnsi="仿宋" w:eastAsia="仿宋" w:cs="仿宋_GB2312"/>
          <w:spacing w:val="-23"/>
          <w:sz w:val="24"/>
          <w:highlight w:val="none"/>
          <w:u w:val="single"/>
        </w:rPr>
      </w:pPr>
    </w:p>
    <w:p>
      <w:pPr>
        <w:spacing w:line="360" w:lineRule="auto"/>
        <w:ind w:firstLine="388" w:firstLineChars="200"/>
        <w:rPr>
          <w:rFonts w:ascii="仿宋" w:hAnsi="仿宋" w:eastAsia="仿宋" w:cs="仿宋_GB2312"/>
          <w:spacing w:val="-23"/>
          <w:sz w:val="24"/>
          <w:highlight w:val="none"/>
          <w:u w:val="single"/>
        </w:rPr>
      </w:pPr>
    </w:p>
    <w:p>
      <w:pPr>
        <w:spacing w:line="360" w:lineRule="auto"/>
        <w:rPr>
          <w:rFonts w:ascii="仿宋" w:hAnsi="仿宋" w:eastAsia="仿宋" w:cs="仿宋_GB2312"/>
          <w:sz w:val="24"/>
          <w:highlight w:val="none"/>
        </w:rPr>
      </w:pPr>
      <w:r>
        <w:rPr>
          <w:rFonts w:hint="eastAsia" w:ascii="仿宋" w:hAnsi="仿宋" w:eastAsia="仿宋" w:cs="仿宋_GB2312"/>
          <w:b/>
          <w:bCs/>
          <w:sz w:val="24"/>
          <w:highlight w:val="none"/>
        </w:rPr>
        <w:t>说明：</w:t>
      </w:r>
      <w:r>
        <w:rPr>
          <w:rFonts w:hint="eastAsia" w:ascii="仿宋" w:hAnsi="仿宋" w:eastAsia="仿宋" w:cs="仿宋_GB2312"/>
          <w:bCs/>
          <w:sz w:val="24"/>
          <w:highlight w:val="none"/>
        </w:rPr>
        <w:t>本次</w:t>
      </w:r>
      <w:r>
        <w:rPr>
          <w:rFonts w:hint="eastAsia" w:ascii="仿宋" w:hAnsi="仿宋" w:eastAsia="仿宋" w:cs="仿宋_GB2312"/>
          <w:bCs/>
          <w:sz w:val="24"/>
          <w:highlight w:val="none"/>
          <w:lang w:eastAsia="zh-CN"/>
        </w:rPr>
        <w:t>竞价</w:t>
      </w:r>
      <w:r>
        <w:rPr>
          <w:rFonts w:hint="eastAsia" w:ascii="仿宋" w:hAnsi="仿宋" w:eastAsia="仿宋" w:cs="仿宋_GB2312"/>
          <w:bCs/>
          <w:sz w:val="24"/>
          <w:highlight w:val="none"/>
        </w:rPr>
        <w:t>数量是</w:t>
      </w:r>
      <w:r>
        <w:rPr>
          <w:rFonts w:hint="eastAsia" w:ascii="仿宋" w:hAnsi="仿宋" w:eastAsia="仿宋" w:cs="仿宋_GB2312"/>
          <w:sz w:val="24"/>
          <w:highlight w:val="none"/>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三、投标人资格要求</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1、在中华人民共和国境内依法经国家工商、税务机关登记注册。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2、投标人须为一般纳税人</w:t>
      </w:r>
      <w:r>
        <w:rPr>
          <w:rFonts w:hint="eastAsia" w:ascii="仿宋" w:hAnsi="仿宋" w:eastAsia="仿宋" w:cs="仿宋_GB2312"/>
          <w:sz w:val="24"/>
          <w:highlight w:val="none"/>
          <w:lang w:eastAsia="zh-CN"/>
        </w:rPr>
        <w:t>或小规模纳税人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3、投标人提供的相关资质证件均须在年审有效期内。</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4、有生产经营和安全许可要求的，必须有相应有效的许可证。</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5、投标人近三年无重大失信和违法、违纪行为等不良记录。</w:t>
      </w:r>
    </w:p>
    <w:p>
      <w:pPr>
        <w:spacing w:line="360" w:lineRule="auto"/>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四、招标公告发布的媒介及招标公告的获取</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所有招标信息均以以上网站发布为准，其它任何形式的内容不作为招标投标以及开标评标的依据。</w:t>
      </w:r>
    </w:p>
    <w:p>
      <w:pPr>
        <w:spacing w:line="360" w:lineRule="auto"/>
        <w:ind w:firstLine="480" w:firstLineChars="200"/>
        <w:rPr>
          <w:rFonts w:ascii="仿宋" w:hAnsi="仿宋" w:eastAsia="仿宋" w:cs="仿宋_GB2312"/>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五、投标报名</w:t>
      </w:r>
    </w:p>
    <w:p>
      <w:pPr>
        <w:spacing w:line="360" w:lineRule="auto"/>
        <w:jc w:val="center"/>
        <w:rPr>
          <w:rFonts w:ascii="仿宋" w:hAnsi="仿宋" w:eastAsia="仿宋" w:cs="仿宋_GB2312"/>
          <w:b/>
          <w:sz w:val="24"/>
          <w:highlight w:val="none"/>
        </w:rPr>
      </w:pPr>
    </w:p>
    <w:p>
      <w:pPr>
        <w:spacing w:line="360" w:lineRule="auto"/>
        <w:ind w:firstLine="484" w:firstLineChars="202"/>
        <w:rPr>
          <w:rFonts w:ascii="仿宋" w:hAnsi="仿宋" w:eastAsia="仿宋" w:cs="仿宋_GB2312"/>
          <w:b/>
          <w:bCs/>
          <w:sz w:val="24"/>
          <w:highlight w:val="none"/>
        </w:rPr>
      </w:pPr>
      <w:r>
        <w:rPr>
          <w:rFonts w:hint="eastAsia" w:ascii="仿宋" w:hAnsi="仿宋" w:eastAsia="仿宋" w:cs="仿宋_GB2312"/>
          <w:sz w:val="24"/>
          <w:highlight w:val="none"/>
        </w:rPr>
        <w:t>1、各投标人须在指定时间前至铜冠建安公司报名，同时通过投标报名的资格审查。</w:t>
      </w:r>
      <w:r>
        <w:rPr>
          <w:rFonts w:hint="eastAsia" w:ascii="仿宋" w:hAnsi="仿宋" w:eastAsia="仿宋" w:cs="仿宋_GB2312"/>
          <w:b/>
          <w:bCs/>
          <w:sz w:val="24"/>
          <w:highlight w:val="none"/>
        </w:rPr>
        <w:t>因投标人未在指定要求时间报名或未通过资格审查的视为无效投标。</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2、报名时投标人需提供报名资料。</w:t>
      </w:r>
      <w:r>
        <w:rPr>
          <w:rFonts w:hint="eastAsia" w:ascii="仿宋" w:hAnsi="仿宋" w:eastAsia="仿宋" w:cs="仿宋_GB2312"/>
          <w:sz w:val="24"/>
          <w:highlight w:val="none"/>
          <w:u w:val="single"/>
        </w:rPr>
        <w:t>报名资料包括营业执照副本的复印件、法人身份证复印件（经办人不是法人代表的要提供法人代表授权委托书、代理人身份证复印件）、投标人单位开票资料、投标保证金汇款回单等资料，以上资料均须法定代表人逐页签字并加盖公章（原章）。</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3、报名自招标公告发布之日起至</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3</w:t>
      </w:r>
      <w:r>
        <w:rPr>
          <w:rFonts w:hint="eastAsia" w:ascii="仿宋" w:hAnsi="仿宋" w:eastAsia="仿宋" w:cs="仿宋_GB2312"/>
          <w:sz w:val="24"/>
          <w:highlight w:val="none"/>
          <w:u w:val="single"/>
        </w:rPr>
        <w:t>日12:00止</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4、报名地点：</w:t>
      </w:r>
      <w:r>
        <w:rPr>
          <w:rFonts w:hint="eastAsia" w:ascii="仿宋" w:hAnsi="仿宋" w:eastAsia="仿宋" w:cs="仿宋_GB2312"/>
          <w:sz w:val="24"/>
          <w:highlight w:val="none"/>
          <w:u w:val="single"/>
        </w:rPr>
        <w:t>铜冠建安公司物资部（黄山大道南段879号主楼四楼）</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5、联 系 人：</w:t>
      </w:r>
      <w:r>
        <w:rPr>
          <w:rFonts w:hint="eastAsia" w:ascii="仿宋" w:hAnsi="仿宋" w:eastAsia="仿宋" w:cs="仿宋_GB2312"/>
          <w:bCs/>
          <w:sz w:val="24"/>
          <w:highlight w:val="none"/>
          <w:u w:val="single"/>
        </w:rPr>
        <w:t>叶明陵（13865621916）、任凡（15656263008）</w:t>
      </w: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六、保证金</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b/>
          <w:bCs/>
          <w:color w:val="C00000"/>
          <w:sz w:val="24"/>
          <w:highlight w:val="none"/>
        </w:rPr>
      </w:pPr>
      <w:r>
        <w:rPr>
          <w:rFonts w:hint="eastAsia" w:ascii="仿宋" w:hAnsi="仿宋" w:eastAsia="仿宋" w:cs="仿宋_GB2312"/>
          <w:sz w:val="24"/>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highlight w:val="none"/>
        </w:rPr>
        <w:t>证金</w:t>
      </w:r>
      <w:r>
        <w:rPr>
          <w:rFonts w:hint="eastAsia" w:ascii="仿宋" w:hAnsi="仿宋" w:eastAsia="仿宋" w:cs="仿宋_GB2312"/>
          <w:b/>
          <w:color w:val="000000"/>
          <w:sz w:val="24"/>
          <w:highlight w:val="none"/>
          <w:u w:val="single"/>
          <w:lang w:eastAsia="zh-CN"/>
        </w:rPr>
        <w:t>陆仟</w:t>
      </w:r>
      <w:r>
        <w:rPr>
          <w:rFonts w:hint="eastAsia" w:ascii="仿宋" w:hAnsi="仿宋" w:eastAsia="仿宋" w:cs="仿宋_GB2312"/>
          <w:b/>
          <w:bCs/>
          <w:color w:val="000000"/>
          <w:sz w:val="24"/>
          <w:highlight w:val="none"/>
          <w:u w:val="single"/>
        </w:rPr>
        <w:t>元整</w:t>
      </w:r>
      <w:r>
        <w:rPr>
          <w:rFonts w:hint="eastAsia" w:ascii="仿宋" w:hAnsi="仿宋" w:eastAsia="仿宋" w:cs="仿宋_GB2312"/>
          <w:b/>
          <w:bCs/>
          <w:color w:val="000000"/>
          <w:sz w:val="24"/>
          <w:highlight w:val="none"/>
          <w:u w:val="single"/>
          <w:lang w:eastAsia="zh-CN"/>
        </w:rPr>
        <w:t>；</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highlight w:val="none"/>
        </w:rPr>
        <w:t>）</w:t>
      </w:r>
      <w:r>
        <w:rPr>
          <w:rFonts w:hint="eastAsia" w:ascii="仿宋" w:hAnsi="仿宋" w:eastAsia="仿宋" w:cs="仿宋_GB2312"/>
          <w:b/>
          <w:bCs/>
          <w:sz w:val="24"/>
          <w:highlight w:val="none"/>
        </w:rPr>
        <w:t>无投标保证金或未出具投标保证金承诺书视为无效投标。</w:t>
      </w:r>
      <w:r>
        <w:rPr>
          <w:rFonts w:hint="eastAsia" w:ascii="仿宋" w:hAnsi="仿宋" w:eastAsia="仿宋" w:cs="仿宋_GB2312"/>
          <w:sz w:val="24"/>
          <w:highlight w:val="none"/>
        </w:rPr>
        <w:t>投标保证金须对公账户转账，不接受个人账户转账，同时要求注明</w:t>
      </w:r>
      <w:r>
        <w:rPr>
          <w:rFonts w:hint="eastAsia" w:ascii="仿宋" w:hAnsi="仿宋" w:eastAsia="仿宋" w:cs="仿宋_GB2312"/>
          <w:b/>
          <w:bCs/>
          <w:sz w:val="24"/>
          <w:highlight w:val="none"/>
          <w:u w:val="single"/>
        </w:rPr>
        <w:t>铜陵铜冠建安</w:t>
      </w:r>
      <w:r>
        <w:rPr>
          <w:rFonts w:hint="eastAsia" w:ascii="仿宋" w:hAnsi="仿宋" w:eastAsia="仿宋" w:cs="仿宋_GB2312"/>
          <w:b/>
          <w:bCs/>
          <w:sz w:val="24"/>
          <w:highlight w:val="none"/>
          <w:u w:val="single"/>
          <w:lang w:eastAsia="zh-CN"/>
        </w:rPr>
        <w:t>公司第二事业部全鑫项目水泥、黄砂</w:t>
      </w:r>
      <w:r>
        <w:rPr>
          <w:rFonts w:hint="eastAsia" w:ascii="仿宋" w:hAnsi="仿宋" w:eastAsia="仿宋" w:cs="仿宋"/>
          <w:b/>
          <w:bCs/>
          <w:sz w:val="24"/>
          <w:highlight w:val="none"/>
          <w:u w:val="single"/>
        </w:rPr>
        <w:t>TG</w:t>
      </w:r>
      <w:r>
        <w:rPr>
          <w:rFonts w:hint="eastAsia" w:ascii="仿宋" w:hAnsi="仿宋" w:eastAsia="仿宋" w:cs="仿宋_GB2312"/>
          <w:b/>
          <w:bCs/>
          <w:sz w:val="24"/>
          <w:highlight w:val="none"/>
          <w:u w:val="single"/>
        </w:rPr>
        <w:t>JA-WZ-2024</w:t>
      </w:r>
      <w:r>
        <w:rPr>
          <w:rFonts w:hint="eastAsia" w:ascii="仿宋" w:hAnsi="仿宋" w:eastAsia="仿宋" w:cs="仿宋_GB2312"/>
          <w:b/>
          <w:bCs/>
          <w:sz w:val="24"/>
          <w:highlight w:val="none"/>
          <w:u w:val="single"/>
          <w:lang w:val="en-US" w:eastAsia="zh-CN"/>
        </w:rPr>
        <w:t>95</w:t>
      </w:r>
      <w:r>
        <w:rPr>
          <w:rFonts w:hint="eastAsia" w:ascii="仿宋" w:hAnsi="仿宋" w:eastAsia="仿宋" w:cs="仿宋_GB2312"/>
          <w:b/>
          <w:bCs/>
          <w:sz w:val="24"/>
          <w:highlight w:val="none"/>
          <w:u w:val="single"/>
        </w:rPr>
        <w:t>投标保证金。</w:t>
      </w:r>
    </w:p>
    <w:p>
      <w:pPr>
        <w:spacing w:line="360" w:lineRule="auto"/>
        <w:ind w:firstLine="482" w:firstLineChars="200"/>
        <w:jc w:val="left"/>
        <w:rPr>
          <w:rFonts w:ascii="仿宋" w:hAnsi="仿宋" w:eastAsia="仿宋" w:cs="仿宋_GB2312"/>
          <w:b/>
          <w:bCs/>
          <w:color w:val="C00000"/>
          <w:sz w:val="24"/>
          <w:highlight w:val="none"/>
        </w:rPr>
      </w:pPr>
      <w:r>
        <w:rPr>
          <w:rFonts w:hint="eastAsia" w:ascii="仿宋" w:hAnsi="仿宋" w:eastAsia="仿宋" w:cs="仿宋_GB2312"/>
          <w:b/>
          <w:bCs/>
          <w:color w:val="C00000"/>
          <w:sz w:val="24"/>
          <w:highlight w:val="none"/>
        </w:rPr>
        <w:t xml:space="preserve">2、下列任何情况发生时，投标保证金将被不予退还：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（2）中标人未能在规定期限内按照招标文件签订合同协议；</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（3）签署合同后，未能在规定的时间内提供履约保证金；</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（4）投标人在招标中存在违规和违法行为的。</w:t>
      </w:r>
    </w:p>
    <w:p>
      <w:pPr>
        <w:spacing w:line="360" w:lineRule="auto"/>
        <w:ind w:firstLine="480" w:firstLineChars="200"/>
        <w:jc w:val="left"/>
        <w:rPr>
          <w:rFonts w:ascii="仿宋" w:hAnsi="仿宋" w:eastAsia="仿宋" w:cs="仿宋_GB2312"/>
          <w:sz w:val="24"/>
          <w:highlight w:val="none"/>
          <w:u w:val="single"/>
        </w:rPr>
      </w:pPr>
      <w:r>
        <w:rPr>
          <w:rFonts w:hint="eastAsia" w:ascii="仿宋" w:hAnsi="仿宋" w:eastAsia="仿宋" w:cs="仿宋_GB2312"/>
          <w:sz w:val="24"/>
          <w:highlight w:val="none"/>
        </w:rPr>
        <w:t>（5）中标人因自身原因放弃中标资格的。</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 xml:space="preserve">3、在签订合同前，中标人须交纳履约保证金。履约保证金金额为中标合同总金额的 </w:t>
      </w:r>
      <w:r>
        <w:rPr>
          <w:rFonts w:hint="eastAsia" w:ascii="仿宋" w:hAnsi="仿宋" w:eastAsia="仿宋" w:cs="仿宋_GB2312"/>
          <w:sz w:val="24"/>
          <w:highlight w:val="none"/>
          <w:u w:val="single"/>
        </w:rPr>
        <w:t xml:space="preserve">10% </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4、招标结果公示后1个月内，向所有投标人退还投标保证金（无息）。</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5、公司对公账户信息</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账户名称：</w:t>
      </w:r>
      <w:r>
        <w:rPr>
          <w:rFonts w:hint="eastAsia" w:ascii="仿宋" w:hAnsi="仿宋" w:eastAsia="仿宋" w:cs="仿宋_GB2312"/>
          <w:sz w:val="24"/>
          <w:highlight w:val="none"/>
          <w:u w:val="single"/>
        </w:rPr>
        <w:t>铜陵有色金属集团铜冠建筑安装股份有限公司</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    号：</w:t>
      </w:r>
      <w:r>
        <w:rPr>
          <w:rFonts w:hint="eastAsia" w:ascii="仿宋" w:hAnsi="仿宋" w:eastAsia="仿宋" w:cs="仿宋_GB2312"/>
          <w:sz w:val="24"/>
          <w:highlight w:val="none"/>
          <w:u w:val="single"/>
        </w:rPr>
        <w:t>1308024009200056147</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开 户 行：</w:t>
      </w:r>
      <w:r>
        <w:rPr>
          <w:rFonts w:hint="eastAsia" w:ascii="仿宋" w:hAnsi="仿宋" w:eastAsia="仿宋" w:cs="仿宋_GB2312"/>
          <w:sz w:val="24"/>
          <w:highlight w:val="none"/>
          <w:u w:val="single"/>
        </w:rPr>
        <w:t>工行铜陵铜都支行</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七、 投标文件的递交</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1、投标文件递交的截止时间：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bookmarkStart w:id="0" w:name="_GoBack"/>
      <w:bookmarkEnd w:id="0"/>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sz w:val="24"/>
          <w:highlight w:val="none"/>
        </w:rPr>
        <w:t>4、逾期送达的或未按规定送达指定地点的投标文件，招标人不予受理。</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八、投标人须知</w:t>
      </w:r>
    </w:p>
    <w:p>
      <w:pPr>
        <w:spacing w:line="360" w:lineRule="auto"/>
        <w:jc w:val="center"/>
        <w:rPr>
          <w:rFonts w:ascii="仿宋" w:hAnsi="仿宋" w:eastAsia="仿宋" w:cs="仿宋_GB2312"/>
          <w:b/>
          <w:sz w:val="24"/>
          <w:highlight w:val="none"/>
        </w:rPr>
      </w:pP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1、本次招标材料的质量相关要求</w:t>
      </w:r>
    </w:p>
    <w:p>
      <w:pPr>
        <w:spacing w:line="360" w:lineRule="auto"/>
        <w:ind w:firstLine="547" w:firstLineChars="228"/>
        <w:rPr>
          <w:rFonts w:hint="eastAsia" w:ascii="仿宋" w:hAnsi="仿宋" w:eastAsia="仿宋" w:cs="仿宋"/>
          <w:sz w:val="24"/>
          <w:szCs w:val="24"/>
          <w:highlight w:val="none"/>
        </w:rPr>
      </w:pPr>
      <w:r>
        <w:rPr>
          <w:rFonts w:hint="eastAsia" w:ascii="仿宋" w:hAnsi="仿宋" w:eastAsia="仿宋" w:cs="仿宋_GB2312"/>
          <w:sz w:val="24"/>
          <w:highlight w:val="none"/>
        </w:rPr>
        <w:t>（1）</w:t>
      </w:r>
      <w:r>
        <w:rPr>
          <w:rFonts w:hint="eastAsia" w:ascii="仿宋" w:hAnsi="仿宋" w:eastAsia="仿宋" w:cs="仿宋"/>
          <w:sz w:val="24"/>
          <w:highlight w:val="none"/>
        </w:rPr>
        <w:t>材</w:t>
      </w:r>
      <w:r>
        <w:rPr>
          <w:rFonts w:hint="eastAsia" w:ascii="仿宋" w:hAnsi="仿宋" w:eastAsia="仿宋" w:cs="仿宋"/>
          <w:sz w:val="24"/>
          <w:szCs w:val="24"/>
          <w:highlight w:val="none"/>
        </w:rPr>
        <w:t>料质量要求</w:t>
      </w:r>
      <w:r>
        <w:rPr>
          <w:rFonts w:hint="eastAsia" w:ascii="仿宋" w:hAnsi="仿宋" w:eastAsia="仿宋" w:cs="仿宋"/>
          <w:sz w:val="24"/>
          <w:szCs w:val="24"/>
          <w:highlight w:val="none"/>
          <w:lang w:eastAsia="zh-CN"/>
        </w:rPr>
        <w:t>：</w:t>
      </w:r>
      <w:r>
        <w:rPr>
          <w:rFonts w:hint="eastAsia" w:ascii="仿宋" w:hAnsi="仿宋" w:eastAsia="仿宋" w:cs="仿宋"/>
          <w:color w:val="333333"/>
          <w:sz w:val="24"/>
          <w:szCs w:val="24"/>
          <w:shd w:val="clear" w:color="auto" w:fill="FFFFFF"/>
          <w:lang w:eastAsia="zh-CN"/>
        </w:rPr>
        <w:t>符合国家最新标准和招标文件要求</w:t>
      </w:r>
      <w:r>
        <w:rPr>
          <w:rFonts w:hint="eastAsia" w:ascii="仿宋" w:hAnsi="仿宋" w:eastAsia="仿宋" w:cs="仿宋"/>
          <w:color w:val="333333"/>
          <w:sz w:val="24"/>
          <w:szCs w:val="24"/>
          <w:shd w:val="clear" w:color="auto" w:fill="FFFFFF"/>
        </w:rPr>
        <w:t>。</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
          <w:sz w:val="24"/>
          <w:szCs w:val="24"/>
          <w:highlight w:val="none"/>
        </w:rPr>
        <w:t>（2）投标人如若中标</w:t>
      </w:r>
      <w:r>
        <w:rPr>
          <w:rFonts w:hint="eastAsia" w:ascii="仿宋" w:hAnsi="仿宋" w:eastAsia="仿宋" w:cs="仿宋_GB2312"/>
          <w:sz w:val="24"/>
          <w:highlight w:val="none"/>
        </w:rPr>
        <w:t>，提供的材料必须符合技术指标要求。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（3）若达不到招标人要求的，中标人无条件将该车货物拉回且不计货款，动用招标人机械装货收取</w:t>
      </w:r>
      <w:r>
        <w:rPr>
          <w:rFonts w:hint="eastAsia" w:ascii="仿宋" w:hAnsi="仿宋" w:eastAsia="仿宋" w:cs="仿宋_GB2312"/>
          <w:b/>
          <w:bCs/>
          <w:color w:val="FF0000"/>
          <w:sz w:val="24"/>
          <w:highlight w:val="none"/>
          <w:u w:val="single"/>
        </w:rPr>
        <w:t>500</w:t>
      </w:r>
      <w:r>
        <w:rPr>
          <w:rFonts w:hint="eastAsia" w:ascii="仿宋" w:hAnsi="仿宋" w:eastAsia="仿宋" w:cs="仿宋_GB2312"/>
          <w:sz w:val="24"/>
          <w:highlight w:val="none"/>
        </w:rPr>
        <w:t>元/车装车费。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highlight w:val="none"/>
          <w:u w:val="single"/>
        </w:rPr>
        <w:t>一年内</w:t>
      </w:r>
      <w:r>
        <w:rPr>
          <w:rFonts w:hint="eastAsia" w:ascii="仿宋" w:hAnsi="仿宋" w:eastAsia="仿宋" w:cs="仿宋_GB2312"/>
          <w:sz w:val="24"/>
          <w:highlight w:val="none"/>
        </w:rPr>
        <w:t>禁止参加铜冠建安公司招标。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2、交货地点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材料送至铜冠建安公司</w:t>
      </w:r>
      <w:r>
        <w:rPr>
          <w:rFonts w:hint="eastAsia" w:ascii="仿宋" w:hAnsi="仿宋" w:eastAsia="仿宋" w:cs="仿宋_GB2312"/>
          <w:sz w:val="24"/>
          <w:highlight w:val="none"/>
          <w:lang w:eastAsia="zh-CN"/>
        </w:rPr>
        <w:t>第二事业部全鑫项目现场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3、运输要求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4、报价相关要求</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1</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本次招标价为含税含运费一票制价格。</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2</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一经中标，合同期内价格不予调整。</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5、标书相关要求</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highlight w:val="none"/>
        </w:rPr>
        <w:t>以上事项不符合要求的视为无效投标。</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（2）投标文件密封袋封口处应密封完整，加盖投标单位公章，并且注明招标编号及材料名称。因投标人制作、密封、寄送报价文件</w:t>
      </w:r>
      <w:r>
        <w:rPr>
          <w:rFonts w:hint="eastAsia" w:ascii="仿宋" w:hAnsi="仿宋" w:eastAsia="仿宋" w:cs="仿宋_GB2312"/>
          <w:b/>
          <w:bCs/>
          <w:sz w:val="24"/>
          <w:highlight w:val="none"/>
        </w:rPr>
        <w:t>不符合要求的视为无效投标。</w:t>
      </w:r>
    </w:p>
    <w:p>
      <w:pPr>
        <w:spacing w:line="360" w:lineRule="auto"/>
        <w:ind w:firstLine="547" w:firstLineChars="228"/>
        <w:rPr>
          <w:rFonts w:ascii="仿宋" w:hAnsi="仿宋" w:eastAsia="仿宋" w:cs="仿宋_GB2312"/>
          <w:b/>
          <w:bCs/>
          <w:sz w:val="24"/>
          <w:highlight w:val="none"/>
        </w:rPr>
      </w:pPr>
      <w:r>
        <w:rPr>
          <w:rFonts w:hint="eastAsia" w:ascii="仿宋" w:hAnsi="仿宋" w:eastAsia="仿宋" w:cs="仿宋_GB2312"/>
          <w:sz w:val="24"/>
          <w:highlight w:val="none"/>
        </w:rPr>
        <w:t>（3）投标保证金汇款凭证复印件必须内附在投标文件中。</w:t>
      </w:r>
      <w:r>
        <w:rPr>
          <w:rFonts w:hint="eastAsia" w:ascii="仿宋" w:hAnsi="仿宋" w:eastAsia="仿宋" w:cs="仿宋_GB2312"/>
          <w:b/>
          <w:bCs/>
          <w:sz w:val="24"/>
          <w:highlight w:val="none"/>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highlight w:val="none"/>
        </w:rPr>
        <w:t>以上事项不符合要求的视为无效投标。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（5）装订要求</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4"/>
          <w:highlight w:val="none"/>
          <w:u w:val="single"/>
        </w:rPr>
        <w:t>同时视为无效投标</w:t>
      </w:r>
      <w:r>
        <w:rPr>
          <w:rFonts w:hint="eastAsia" w:ascii="仿宋" w:hAnsi="仿宋" w:eastAsia="仿宋" w:cs="仿宋_GB2312"/>
          <w:sz w:val="24"/>
          <w:highlight w:val="none"/>
          <w:u w:val="single"/>
        </w:rPr>
        <w:t>。</w:t>
      </w:r>
    </w:p>
    <w:p>
      <w:pPr>
        <w:numPr>
          <w:ilvl w:val="0"/>
          <w:numId w:val="2"/>
        </w:num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结算数量</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（1）以招标人现场签字验收的收货单数量为准，</w:t>
      </w:r>
    </w:p>
    <w:p>
      <w:pPr>
        <w:spacing w:line="360" w:lineRule="auto"/>
        <w:ind w:firstLine="480" w:firstLineChars="200"/>
        <w:rPr>
          <w:rFonts w:hint="eastAsia" w:ascii="仿宋" w:hAnsi="仿宋" w:eastAsia="仿宋" w:cs="仿宋_GB2312"/>
          <w:sz w:val="24"/>
          <w:highlight w:val="none"/>
          <w:lang w:eastAsia="zh-CN"/>
        </w:rPr>
      </w:pPr>
      <w:r>
        <w:rPr>
          <w:rFonts w:hint="eastAsia" w:ascii="仿宋" w:hAnsi="仿宋" w:eastAsia="仿宋" w:cs="仿宋_GB2312"/>
          <w:sz w:val="24"/>
          <w:highlight w:val="none"/>
        </w:rPr>
        <w:t>（2）涉及过磅材料，招标人有抽磅的权利，如抽磅数量与送货单数量负误差超过千分之三，以招标人抽磅数量结算且扣除该车50%货款，如发生三次以上，招标人有权解除合同。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7、结算价格</w:t>
      </w:r>
    </w:p>
    <w:p>
      <w:pPr>
        <w:spacing w:line="360" w:lineRule="auto"/>
        <w:ind w:firstLine="480" w:firstLineChars="200"/>
        <w:rPr>
          <w:rFonts w:hint="eastAsia" w:ascii="仿宋" w:hAnsi="仿宋" w:eastAsia="仿宋" w:cs="仿宋"/>
          <w:spacing w:val="-17"/>
          <w:sz w:val="24"/>
          <w:szCs w:val="24"/>
          <w:highlight w:val="none"/>
        </w:rPr>
      </w:pPr>
      <w:r>
        <w:rPr>
          <w:rFonts w:hint="eastAsia" w:ascii="仿宋" w:hAnsi="仿宋" w:eastAsia="仿宋" w:cs="仿宋_GB2312"/>
          <w:sz w:val="24"/>
          <w:highlight w:val="none"/>
          <w:u w:val="single"/>
        </w:rPr>
        <w:t>各</w:t>
      </w:r>
      <w:r>
        <w:rPr>
          <w:rFonts w:hint="eastAsia" w:ascii="仿宋" w:hAnsi="仿宋" w:eastAsia="仿宋" w:cs="仿宋"/>
          <w:sz w:val="24"/>
          <w:szCs w:val="24"/>
          <w:highlight w:val="none"/>
          <w:u w:val="single"/>
        </w:rPr>
        <w:t>投标单位报价须谨慎，一旦中标不得以任何理由变更报价</w:t>
      </w:r>
      <w:r>
        <w:rPr>
          <w:rFonts w:hint="eastAsia" w:ascii="仿宋" w:hAnsi="仿宋" w:eastAsia="仿宋" w:cs="仿宋"/>
          <w:spacing w:val="-17"/>
          <w:sz w:val="24"/>
          <w:szCs w:val="24"/>
          <w:highlight w:val="none"/>
          <w:u w:val="single"/>
        </w:rPr>
        <w:t>。</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8、</w:t>
      </w:r>
      <w:r>
        <w:rPr>
          <w:rFonts w:hint="eastAsia" w:ascii="仿宋" w:hAnsi="仿宋" w:eastAsia="仿宋" w:cs="仿宋"/>
          <w:sz w:val="24"/>
          <w:szCs w:val="24"/>
        </w:rPr>
        <w:t>合同签订和付款方式</w:t>
      </w:r>
    </w:p>
    <w:p>
      <w:pPr>
        <w:spacing w:line="360" w:lineRule="auto"/>
        <w:ind w:firstLine="480" w:firstLineChars="200"/>
        <w:rPr>
          <w:rFonts w:hint="eastAsia" w:ascii="仿宋" w:hAnsi="仿宋" w:eastAsia="仿宋" w:cs="仿宋"/>
          <w:b/>
          <w:sz w:val="24"/>
          <w:szCs w:val="24"/>
          <w:highlight w:val="none"/>
          <w:u w:val="single"/>
          <w:lang w:eastAsia="zh-CN"/>
        </w:rPr>
      </w:pPr>
      <w:r>
        <w:rPr>
          <w:rFonts w:hint="eastAsia" w:ascii="仿宋" w:hAnsi="仿宋" w:eastAsia="仿宋" w:cs="仿宋_GB2312"/>
          <w:color w:val="000000" w:themeColor="text1"/>
          <w:sz w:val="24"/>
          <w:highlight w:val="none"/>
          <w:u w:val="single"/>
          <w14:textFill>
            <w14:solidFill>
              <w14:schemeClr w14:val="tx1"/>
            </w14:solidFill>
          </w14:textFill>
        </w:rPr>
        <w:t>合同签订后，</w:t>
      </w:r>
      <w:r>
        <w:rPr>
          <w:rFonts w:hint="eastAsia" w:ascii="仿宋" w:hAnsi="仿宋" w:eastAsia="仿宋" w:cs="仿宋"/>
          <w:color w:val="000000" w:themeColor="text1"/>
          <w:sz w:val="24"/>
          <w:highlight w:val="none"/>
          <w:u w:val="single"/>
          <w14:textFill>
            <w14:solidFill>
              <w14:schemeClr w14:val="tx1"/>
            </w14:solidFill>
          </w14:textFill>
        </w:rPr>
        <w:t>货到验收合格后开具发票，入账次月支付40%，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2025年1月份</w:t>
      </w:r>
      <w:r>
        <w:rPr>
          <w:rFonts w:hint="eastAsia" w:ascii="仿宋" w:hAnsi="仿宋" w:eastAsia="仿宋" w:cs="仿宋"/>
          <w:color w:val="000000" w:themeColor="text1"/>
          <w:sz w:val="24"/>
          <w:highlight w:val="none"/>
          <w:u w:val="single"/>
          <w14:textFill>
            <w14:solidFill>
              <w14:schemeClr w14:val="tx1"/>
            </w14:solidFill>
          </w14:textFill>
        </w:rPr>
        <w:t>前付至</w:t>
      </w:r>
      <w:r>
        <w:rPr>
          <w:rFonts w:hint="eastAsia" w:ascii="仿宋" w:hAnsi="仿宋" w:eastAsia="仿宋" w:cs="仿宋"/>
          <w:color w:val="000000" w:themeColor="text1"/>
          <w:sz w:val="24"/>
          <w:highlight w:val="none"/>
          <w:u w:val="single"/>
          <w:lang w:eastAsia="zh-CN"/>
          <w14:textFill>
            <w14:solidFill>
              <w14:schemeClr w14:val="tx1"/>
            </w14:solidFill>
          </w14:textFill>
        </w:rPr>
        <w:t>发票总金额的</w:t>
      </w:r>
      <w:r>
        <w:rPr>
          <w:rFonts w:hint="eastAsia" w:ascii="仿宋" w:hAnsi="仿宋" w:eastAsia="仿宋" w:cs="仿宋"/>
          <w:color w:val="000000" w:themeColor="text1"/>
          <w:sz w:val="24"/>
          <w:highlight w:val="none"/>
          <w:u w:val="single"/>
          <w14:textFill>
            <w14:solidFill>
              <w14:schemeClr w14:val="tx1"/>
            </w14:solidFill>
          </w14:textFill>
        </w:rPr>
        <w:t>80%，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2026年2月份</w:t>
      </w:r>
      <w:r>
        <w:rPr>
          <w:rFonts w:hint="eastAsia" w:ascii="仿宋" w:hAnsi="仿宋" w:eastAsia="仿宋" w:cs="仿宋"/>
          <w:color w:val="000000" w:themeColor="text1"/>
          <w:sz w:val="24"/>
          <w:highlight w:val="none"/>
          <w:u w:val="single"/>
          <w14:textFill>
            <w14:solidFill>
              <w14:schemeClr w14:val="tx1"/>
            </w14:solidFill>
          </w14:textFill>
        </w:rPr>
        <w:t>前付至</w:t>
      </w:r>
      <w:r>
        <w:rPr>
          <w:rFonts w:hint="eastAsia" w:ascii="仿宋" w:hAnsi="仿宋" w:eastAsia="仿宋" w:cs="仿宋"/>
          <w:color w:val="000000" w:themeColor="text1"/>
          <w:sz w:val="24"/>
          <w:highlight w:val="none"/>
          <w:u w:val="single"/>
          <w:lang w:eastAsia="zh-CN"/>
          <w14:textFill>
            <w14:solidFill>
              <w14:schemeClr w14:val="tx1"/>
            </w14:solidFill>
          </w14:textFill>
        </w:rPr>
        <w:t>发票总金额的</w:t>
      </w:r>
      <w:r>
        <w:rPr>
          <w:rFonts w:hint="eastAsia" w:ascii="仿宋" w:hAnsi="仿宋" w:eastAsia="仿宋" w:cs="仿宋"/>
          <w:color w:val="000000" w:themeColor="text1"/>
          <w:sz w:val="24"/>
          <w:highlight w:val="none"/>
          <w:u w:val="single"/>
          <w:lang w:val="en-US" w:eastAsia="zh-CN"/>
          <w14:textFill>
            <w14:solidFill>
              <w14:schemeClr w14:val="tx1"/>
            </w14:solidFill>
          </w14:textFill>
        </w:rPr>
        <w:t>9</w:t>
      </w:r>
      <w:r>
        <w:rPr>
          <w:rFonts w:hint="eastAsia" w:ascii="仿宋" w:hAnsi="仿宋" w:eastAsia="仿宋" w:cs="仿宋"/>
          <w:color w:val="000000" w:themeColor="text1"/>
          <w:sz w:val="24"/>
          <w:highlight w:val="none"/>
          <w:u w:val="single"/>
          <w14:textFill>
            <w14:solidFill>
              <w14:schemeClr w14:val="tx1"/>
            </w14:solidFill>
          </w14:textFill>
        </w:rPr>
        <w:t>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2027年1月份</w:t>
      </w:r>
      <w:r>
        <w:rPr>
          <w:rFonts w:hint="eastAsia" w:ascii="仿宋" w:hAnsi="仿宋" w:eastAsia="仿宋" w:cs="仿宋"/>
          <w:color w:val="000000" w:themeColor="text1"/>
          <w:sz w:val="24"/>
          <w:highlight w:val="none"/>
          <w:u w:val="single"/>
          <w14:textFill>
            <w14:solidFill>
              <w14:schemeClr w14:val="tx1"/>
            </w14:solidFill>
          </w14:textFill>
        </w:rPr>
        <w:t>前付清。</w:t>
      </w:r>
      <w:r>
        <w:rPr>
          <w:rFonts w:hint="eastAsia" w:ascii="仿宋" w:hAnsi="仿宋" w:eastAsia="仿宋" w:cs="仿宋"/>
          <w:color w:val="171A1D"/>
          <w:sz w:val="24"/>
          <w:highlight w:val="none"/>
          <w:u w:val="single"/>
          <w:shd w:val="clear" w:color="auto" w:fill="FFFFFF"/>
        </w:rPr>
        <w:t>货款以对公转账方式支付至供方对公账户，支付电汇或不超过发票总金额50%的6个月内电子承兑</w:t>
      </w:r>
      <w:r>
        <w:rPr>
          <w:rFonts w:hint="eastAsia" w:ascii="仿宋" w:hAnsi="仿宋" w:eastAsia="仿宋" w:cs="仿宋"/>
          <w:color w:val="171A1D"/>
          <w:sz w:val="24"/>
          <w:szCs w:val="24"/>
          <w:highlight w:val="none"/>
          <w:u w:val="single"/>
          <w:shd w:val="clear" w:color="auto" w:fill="FFFFFF"/>
          <w:lang w:eastAsia="zh-CN"/>
        </w:rPr>
        <w:t>。</w:t>
      </w: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九、评标及中标履约要求</w:t>
      </w:r>
    </w:p>
    <w:p>
      <w:pPr>
        <w:spacing w:line="360" w:lineRule="auto"/>
        <w:rPr>
          <w:rFonts w:ascii="仿宋" w:hAnsi="仿宋" w:eastAsia="仿宋" w:cs="仿宋_GB2312"/>
          <w:b/>
          <w:sz w:val="24"/>
          <w:highlight w:val="none"/>
        </w:rPr>
      </w:pP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8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8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r>
        <w:rPr>
          <w:rFonts w:hint="eastAsia" w:ascii="仿宋" w:hAnsi="仿宋" w:eastAsia="仿宋" w:cs="仿宋_GB2312"/>
          <w:sz w:val="24"/>
          <w:highlight w:val="none"/>
        </w:rPr>
        <w:t>。</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十、纪律和监督</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highlight w:val="none"/>
          <w:u w:val="single"/>
        </w:rPr>
        <w:t>一经确认将取消其今后参加铜冠建安公司招标的资格，列入供应商黑名单。</w:t>
      </w: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十一、法定代表人授权书</w:t>
      </w:r>
    </w:p>
    <w:p>
      <w:pPr>
        <w:pStyle w:val="20"/>
        <w:spacing w:line="360" w:lineRule="auto"/>
        <w:rPr>
          <w:rFonts w:ascii="仿宋" w:hAnsi="仿宋" w:eastAsia="仿宋"/>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360" w:lineRule="auto"/>
        <w:ind w:firstLine="480" w:firstLineChars="200"/>
        <w:rPr>
          <w:rFonts w:ascii="仿宋" w:hAnsi="仿宋" w:eastAsia="仿宋"/>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本授权书于______年___月___日签字生效，特此声明。</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代理人情况：</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姓名：__________________   身份证号：____________________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地址：__________________   邮    编：_____________________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电话：__________________   传    真：_____________________</w:t>
      </w:r>
    </w:p>
    <w:p>
      <w:pPr>
        <w:spacing w:line="360" w:lineRule="auto"/>
        <w:ind w:firstLine="480" w:firstLineChars="200"/>
        <w:rPr>
          <w:rFonts w:ascii="仿宋" w:hAnsi="仿宋" w:eastAsia="仿宋" w:cs="仿宋_GB2312"/>
          <w:sz w:val="24"/>
          <w:highlight w:val="none"/>
        </w:rPr>
      </w:pP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法定代表人签字：</w:t>
      </w: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单  位  盖  章：</w:t>
      </w:r>
    </w:p>
    <w:p>
      <w:pPr>
        <w:spacing w:line="360" w:lineRule="auto"/>
        <w:ind w:firstLine="480" w:firstLineChars="200"/>
        <w:rPr>
          <w:rFonts w:ascii="仿宋" w:hAnsi="仿宋" w:eastAsia="仿宋" w:cs="仿宋_GB2312"/>
          <w:sz w:val="24"/>
          <w:highlight w:val="none"/>
        </w:rPr>
      </w:pPr>
    </w:p>
    <w:p>
      <w:pPr>
        <w:spacing w:line="360" w:lineRule="auto"/>
        <w:ind w:firstLine="6240" w:firstLineChars="2600"/>
        <w:rPr>
          <w:rFonts w:ascii="仿宋" w:hAnsi="仿宋" w:eastAsia="仿宋" w:cs="仿宋_GB2312"/>
          <w:sz w:val="24"/>
          <w:highlight w:val="none"/>
        </w:rPr>
      </w:pPr>
      <w:r>
        <w:rPr>
          <w:rFonts w:hint="eastAsia" w:ascii="仿宋" w:hAnsi="仿宋" w:eastAsia="仿宋" w:cs="仿宋_GB2312"/>
          <w:sz w:val="24"/>
          <w:highlight w:val="none"/>
        </w:rPr>
        <w:t>年  月  日</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bCs/>
          <w:sz w:val="24"/>
          <w:highlight w:val="none"/>
        </w:rPr>
      </w:pPr>
      <w:r>
        <w:rPr>
          <w:rFonts w:hint="eastAsia" w:ascii="仿宋" w:hAnsi="仿宋" w:eastAsia="仿宋" w:cs="仿宋_GB2312"/>
          <w:b/>
          <w:sz w:val="24"/>
          <w:highlight w:val="none"/>
        </w:rPr>
        <w:t>十二、投标廉洁</w:t>
      </w:r>
      <w:r>
        <w:rPr>
          <w:rFonts w:hint="eastAsia" w:ascii="仿宋" w:hAnsi="仿宋" w:eastAsia="仿宋" w:cs="仿宋_GB2312"/>
          <w:b/>
          <w:bCs/>
          <w:sz w:val="24"/>
          <w:highlight w:val="none"/>
        </w:rPr>
        <w:t>承诺书</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我单位于年月日参与</w:t>
      </w:r>
      <w:r>
        <w:rPr>
          <w:rFonts w:hint="eastAsia" w:ascii="仿宋" w:hAnsi="仿宋" w:eastAsia="仿宋" w:cs="仿宋_GB2312"/>
          <w:sz w:val="24"/>
          <w:highlight w:val="none"/>
          <w:u w:val="single"/>
        </w:rPr>
        <w:t>（招标编号）</w:t>
      </w:r>
      <w:r>
        <w:rPr>
          <w:rFonts w:hint="eastAsia" w:ascii="仿宋" w:hAnsi="仿宋" w:eastAsia="仿宋" w:cs="仿宋_GB2312"/>
          <w:sz w:val="24"/>
          <w:highlight w:val="none"/>
        </w:rPr>
        <w:t>的</w:t>
      </w:r>
      <w:r>
        <w:rPr>
          <w:rFonts w:hint="eastAsia" w:ascii="仿宋" w:hAnsi="仿宋" w:eastAsia="仿宋" w:cs="仿宋_GB2312"/>
          <w:sz w:val="24"/>
          <w:highlight w:val="none"/>
          <w:u w:val="single"/>
        </w:rPr>
        <w:t>（招标产品）</w:t>
      </w:r>
      <w:r>
        <w:rPr>
          <w:rFonts w:hint="eastAsia" w:ascii="仿宋" w:hAnsi="仿宋" w:eastAsia="仿宋" w:cs="仿宋_GB2312"/>
          <w:sz w:val="24"/>
          <w:highlight w:val="none"/>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承诺不相互串通投标或者与招标人串通投标；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不向招标人或者评标委员会成员行贿谋取中标；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不以他人名义投标或者以其他方式弄虚作假骗取中标；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承诺不向招标人及有关人员提供任何形式的财、物及请吃消费；</w:t>
      </w:r>
    </w:p>
    <w:p>
      <w:pPr>
        <w:widowControl/>
        <w:numPr>
          <w:ilvl w:val="0"/>
          <w:numId w:val="3"/>
        </w:numPr>
        <w:spacing w:line="360" w:lineRule="auto"/>
        <w:ind w:firstLine="480" w:firstLineChars="200"/>
        <w:jc w:val="left"/>
        <w:rPr>
          <w:rFonts w:ascii="仿宋" w:hAnsi="仿宋" w:eastAsia="仿宋" w:cs="仿宋_GB2312"/>
          <w:color w:val="000000"/>
          <w:sz w:val="24"/>
          <w:highlight w:val="none"/>
        </w:rPr>
      </w:pPr>
      <w:r>
        <w:rPr>
          <w:rFonts w:hint="eastAsia" w:ascii="仿宋" w:hAnsi="仿宋" w:eastAsia="仿宋" w:cs="仿宋_GB2312"/>
          <w:sz w:val="24"/>
          <w:highlight w:val="none"/>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80" w:firstLineChars="200"/>
        <w:rPr>
          <w:rFonts w:ascii="仿宋" w:hAnsi="仿宋" w:eastAsia="仿宋" w:cs="仿宋_GB2312"/>
          <w:color w:val="000000"/>
          <w:sz w:val="24"/>
          <w:highlight w:val="none"/>
          <w:u w:val="single"/>
        </w:rPr>
      </w:pPr>
    </w:p>
    <w:p>
      <w:pPr>
        <w:spacing w:line="360" w:lineRule="auto"/>
        <w:ind w:firstLine="4560" w:firstLineChars="1900"/>
        <w:rPr>
          <w:rFonts w:ascii="仿宋" w:hAnsi="仿宋" w:eastAsia="仿宋" w:cs="仿宋_GB2312"/>
          <w:sz w:val="24"/>
          <w:highlight w:val="none"/>
        </w:rPr>
      </w:pP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 xml:space="preserve">承诺方签字 </w:t>
      </w:r>
      <w:r>
        <w:rPr>
          <w:rFonts w:hint="eastAsia" w:ascii="仿宋" w:hAnsi="仿宋" w:eastAsia="仿宋" w:cs="仿宋_GB2312"/>
          <w:b/>
          <w:bCs/>
          <w:sz w:val="24"/>
          <w:highlight w:val="none"/>
        </w:rPr>
        <w:t>:</w:t>
      </w: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单 位 盖 章</w:t>
      </w:r>
      <w:r>
        <w:rPr>
          <w:rFonts w:hint="eastAsia" w:ascii="仿宋" w:hAnsi="仿宋" w:eastAsia="仿宋" w:cs="仿宋_GB2312"/>
          <w:sz w:val="24"/>
          <w:highlight w:val="none"/>
        </w:rPr>
        <w:t xml:space="preserve">：                    </w:t>
      </w:r>
    </w:p>
    <w:p>
      <w:pPr>
        <w:spacing w:line="360" w:lineRule="auto"/>
        <w:ind w:firstLine="1744" w:firstLineChars="800"/>
        <w:jc w:val="center"/>
        <w:rPr>
          <w:rFonts w:ascii="仿宋" w:hAnsi="仿宋" w:eastAsia="仿宋" w:cs="仿宋_GB2312"/>
          <w:sz w:val="28"/>
          <w:szCs w:val="28"/>
          <w:highlight w:val="none"/>
        </w:rPr>
      </w:pPr>
      <w:r>
        <w:rPr>
          <w:rFonts w:hint="eastAsia" w:ascii="仿宋" w:hAnsi="仿宋" w:eastAsia="仿宋" w:cs="仿宋_GB2312"/>
          <w:spacing w:val="-11"/>
          <w:sz w:val="24"/>
          <w:highlight w:val="none"/>
        </w:rPr>
        <w:t xml:space="preserve">日  </w:t>
      </w:r>
      <w:r>
        <w:rPr>
          <w:rFonts w:hint="eastAsia" w:ascii="仿宋" w:hAnsi="仿宋" w:eastAsia="仿宋" w:cs="仿宋_GB2312"/>
          <w:spacing w:val="-11"/>
          <w:sz w:val="28"/>
          <w:szCs w:val="28"/>
          <w:highlight w:val="none"/>
        </w:rPr>
        <w:t xml:space="preserve">     期：</w:t>
      </w:r>
    </w:p>
    <w:p>
      <w:pPr>
        <w:spacing w:line="560" w:lineRule="exact"/>
        <w:rPr>
          <w:rFonts w:ascii="仿宋" w:hAnsi="仿宋" w:eastAsia="仿宋" w:cs="仿宋_GB2312"/>
          <w:b/>
          <w:sz w:val="36"/>
          <w:szCs w:val="36"/>
          <w:highlight w:val="none"/>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highlight w:val="none"/>
        </w:rPr>
      </w:pPr>
      <w:r>
        <w:rPr>
          <w:rFonts w:hint="eastAsia" w:ascii="仿宋" w:hAnsi="仿宋" w:eastAsia="仿宋" w:cs="仿宋_GB2312"/>
          <w:b/>
          <w:sz w:val="36"/>
          <w:szCs w:val="36"/>
          <w:highlight w:val="none"/>
        </w:rPr>
        <w:t>十三、报价单</w:t>
      </w:r>
    </w:p>
    <w:p>
      <w:pPr>
        <w:spacing w:line="400" w:lineRule="exact"/>
        <w:rPr>
          <w:rFonts w:ascii="仿宋" w:hAnsi="仿宋" w:eastAsia="仿宋" w:cs="仿宋_GB2312"/>
          <w:b/>
          <w:sz w:val="28"/>
          <w:szCs w:val="28"/>
          <w:highlight w:val="none"/>
        </w:rPr>
      </w:pPr>
      <w:r>
        <w:rPr>
          <w:rFonts w:hint="eastAsia" w:ascii="仿宋" w:hAnsi="仿宋" w:eastAsia="仿宋"/>
          <w:b/>
          <w:sz w:val="28"/>
          <w:szCs w:val="28"/>
          <w:highlight w:val="none"/>
        </w:rPr>
        <w:t>报价单（TGJA-WZ-2024</w:t>
      </w:r>
      <w:r>
        <w:rPr>
          <w:rFonts w:hint="eastAsia" w:ascii="仿宋" w:hAnsi="仿宋" w:eastAsia="仿宋"/>
          <w:b/>
          <w:sz w:val="28"/>
          <w:szCs w:val="28"/>
          <w:highlight w:val="none"/>
          <w:lang w:val="en-US" w:eastAsia="zh-CN"/>
        </w:rPr>
        <w:t>95</w:t>
      </w:r>
      <w:r>
        <w:rPr>
          <w:rFonts w:hint="eastAsia" w:ascii="仿宋" w:hAnsi="仿宋" w:eastAsia="仿宋"/>
          <w:b/>
          <w:sz w:val="28"/>
          <w:szCs w:val="28"/>
          <w:highlight w:val="none"/>
        </w:rPr>
        <w:t>）：</w:t>
      </w:r>
    </w:p>
    <w:tbl>
      <w:tblPr>
        <w:tblStyle w:val="47"/>
        <w:tblW w:w="154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2111"/>
        <w:gridCol w:w="2107"/>
        <w:gridCol w:w="793"/>
        <w:gridCol w:w="182"/>
        <w:gridCol w:w="1069"/>
        <w:gridCol w:w="1293"/>
        <w:gridCol w:w="1418"/>
        <w:gridCol w:w="1275"/>
        <w:gridCol w:w="1054"/>
        <w:gridCol w:w="696"/>
        <w:gridCol w:w="2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52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111"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物料名称</w:t>
            </w:r>
          </w:p>
        </w:tc>
        <w:tc>
          <w:tcPr>
            <w:tcW w:w="2107"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型号规格</w:t>
            </w:r>
          </w:p>
        </w:tc>
        <w:tc>
          <w:tcPr>
            <w:tcW w:w="975"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w:t>
            </w:r>
          </w:p>
        </w:tc>
        <w:tc>
          <w:tcPr>
            <w:tcW w:w="1069"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129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含税含运费单价*</w:t>
            </w:r>
          </w:p>
        </w:tc>
        <w:tc>
          <w:tcPr>
            <w:tcW w:w="1418"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含税含运费</w:t>
            </w:r>
          </w:p>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金额*</w:t>
            </w:r>
          </w:p>
        </w:tc>
        <w:tc>
          <w:tcPr>
            <w:tcW w:w="1275"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税率*</w:t>
            </w: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是否为增值税专用发票*</w:t>
            </w:r>
          </w:p>
        </w:tc>
        <w:tc>
          <w:tcPr>
            <w:tcW w:w="2919"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1</w:t>
            </w:r>
          </w:p>
        </w:tc>
        <w:tc>
          <w:tcPr>
            <w:tcW w:w="2111"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水泥</w:t>
            </w:r>
          </w:p>
        </w:tc>
        <w:tc>
          <w:tcPr>
            <w:tcW w:w="2107"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袋装42.5</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吨</w:t>
            </w:r>
          </w:p>
        </w:tc>
        <w:tc>
          <w:tcPr>
            <w:tcW w:w="1069"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rPr>
            </w:pPr>
            <w:r>
              <w:rPr>
                <w:rFonts w:hint="eastAsia" w:ascii="仿宋" w:hAnsi="仿宋" w:eastAsia="仿宋" w:cs="仿宋"/>
                <w:i w:val="0"/>
                <w:color w:val="000000"/>
                <w:kern w:val="0"/>
                <w:sz w:val="24"/>
                <w:szCs w:val="24"/>
                <w:u w:val="none"/>
                <w:lang w:val="en-US" w:eastAsia="zh-CN" w:bidi="ar"/>
              </w:rPr>
              <w:t>600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lang w:eastAsia="zh-CN"/>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3"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黄砂</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中粗砂；细度模数3.0-2.3；平均粒径0.5-0.35mm</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吨</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1000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lang w:eastAsia="zh-CN"/>
              </w:rPr>
            </w:pPr>
          </w:p>
        </w:tc>
        <w:tc>
          <w:tcPr>
            <w:tcW w:w="291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合计：</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1275" w:type="dxa"/>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1750" w:type="dxa"/>
            <w:gridSpan w:val="2"/>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2919" w:type="dxa"/>
            <w:vAlign w:val="center"/>
          </w:tcPr>
          <w:p>
            <w:pPr>
              <w:widowControl/>
              <w:jc w:val="center"/>
              <w:textAlignment w:val="center"/>
              <w:rPr>
                <w:rFonts w:hint="eastAsia" w:ascii="仿宋" w:hAnsi="仿宋" w:eastAsia="仿宋" w:cs="仿宋"/>
                <w:color w:val="000000" w:themeColor="text1"/>
                <w:kern w:val="0"/>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440" w:type="dxa"/>
            <w:gridSpan w:val="12"/>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说明：1、此报价表中带 </w:t>
            </w:r>
            <w:r>
              <w:rPr>
                <w:rFonts w:hint="eastAsia" w:ascii="仿宋" w:hAnsi="仿宋" w:eastAsia="仿宋" w:cs="仿宋"/>
                <w:color w:val="auto"/>
                <w:sz w:val="24"/>
                <w:szCs w:val="24"/>
                <w:highlight w:val="none"/>
              </w:rPr>
              <w:t>*</w:t>
            </w:r>
            <w:r>
              <w:rPr>
                <w:rFonts w:hint="eastAsia" w:ascii="仿宋" w:hAnsi="仿宋" w:eastAsia="仿宋" w:cs="仿宋"/>
                <w:sz w:val="24"/>
                <w:szCs w:val="24"/>
                <w:highlight w:val="none"/>
              </w:rPr>
              <w:t xml:space="preserve"> 号为必填项，投标人的所有报价文件均为加盖单位公章的打印件（签名部分除外）。</w:t>
            </w:r>
          </w:p>
          <w:p>
            <w:pPr>
              <w:spacing w:line="400" w:lineRule="exact"/>
              <w:ind w:firstLine="720" w:firstLineChars="300"/>
              <w:rPr>
                <w:rFonts w:hint="eastAsia" w:ascii="仿宋" w:hAnsi="仿宋" w:eastAsia="仿宋" w:cs="仿宋"/>
                <w:sz w:val="24"/>
                <w:szCs w:val="24"/>
                <w:highlight w:val="none"/>
              </w:rPr>
            </w:pPr>
            <w:r>
              <w:rPr>
                <w:rFonts w:hint="eastAsia" w:ascii="仿宋" w:hAnsi="仿宋" w:eastAsia="仿宋" w:cs="仿宋"/>
                <w:sz w:val="24"/>
                <w:szCs w:val="24"/>
                <w:highlight w:val="none"/>
              </w:rPr>
              <w:t>2、本次招标的数量为预估量，最终结算数量以双方确认的实际供货数量为准。</w:t>
            </w:r>
          </w:p>
          <w:p>
            <w:pPr>
              <w:spacing w:line="400" w:lineRule="exact"/>
              <w:ind w:firstLine="720" w:firstLineChars="300"/>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534" w:type="dxa"/>
            <w:gridSpan w:val="4"/>
            <w:vMerge w:val="restart"/>
            <w:vAlign w:val="center"/>
          </w:tcPr>
          <w:p>
            <w:pPr>
              <w:spacing w:line="400" w:lineRule="exact"/>
              <w:ind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投标单位（公章）</w:t>
            </w:r>
          </w:p>
        </w:tc>
        <w:tc>
          <w:tcPr>
            <w:tcW w:w="3962" w:type="dxa"/>
            <w:gridSpan w:val="4"/>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法定代表人或授权委托人</w:t>
            </w:r>
          </w:p>
        </w:tc>
        <w:tc>
          <w:tcPr>
            <w:tcW w:w="5944" w:type="dxa"/>
            <w:gridSpan w:val="4"/>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5534" w:type="dxa"/>
            <w:gridSpan w:val="4"/>
            <w:vMerge w:val="continue"/>
            <w:vAlign w:val="center"/>
          </w:tcPr>
          <w:p>
            <w:pPr>
              <w:spacing w:line="400" w:lineRule="exact"/>
              <w:rPr>
                <w:rFonts w:hint="eastAsia" w:ascii="仿宋" w:hAnsi="仿宋" w:eastAsia="仿宋" w:cs="仿宋"/>
                <w:sz w:val="24"/>
                <w:szCs w:val="24"/>
                <w:highlight w:val="none"/>
              </w:rPr>
            </w:pPr>
          </w:p>
        </w:tc>
        <w:tc>
          <w:tcPr>
            <w:tcW w:w="3962" w:type="dxa"/>
            <w:gridSpan w:val="4"/>
            <w:vMerge w:val="restart"/>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联系方式</w:t>
            </w:r>
          </w:p>
        </w:tc>
        <w:tc>
          <w:tcPr>
            <w:tcW w:w="2329"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电话</w:t>
            </w:r>
          </w:p>
        </w:tc>
        <w:tc>
          <w:tcPr>
            <w:tcW w:w="3615" w:type="dxa"/>
            <w:gridSpan w:val="2"/>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5534" w:type="dxa"/>
            <w:gridSpan w:val="4"/>
            <w:vMerge w:val="continue"/>
            <w:vAlign w:val="center"/>
          </w:tcPr>
          <w:p>
            <w:pPr>
              <w:spacing w:line="400" w:lineRule="exact"/>
              <w:rPr>
                <w:rFonts w:hint="eastAsia" w:ascii="仿宋" w:hAnsi="仿宋" w:eastAsia="仿宋" w:cs="仿宋"/>
                <w:sz w:val="24"/>
                <w:szCs w:val="24"/>
                <w:highlight w:val="none"/>
              </w:rPr>
            </w:pPr>
          </w:p>
        </w:tc>
        <w:tc>
          <w:tcPr>
            <w:tcW w:w="3962" w:type="dxa"/>
            <w:gridSpan w:val="4"/>
            <w:vMerge w:val="continue"/>
            <w:vAlign w:val="center"/>
          </w:tcPr>
          <w:p>
            <w:pPr>
              <w:spacing w:line="400" w:lineRule="exact"/>
              <w:jc w:val="center"/>
              <w:rPr>
                <w:rFonts w:hint="eastAsia" w:ascii="仿宋" w:hAnsi="仿宋" w:eastAsia="仿宋" w:cs="仿宋"/>
                <w:sz w:val="24"/>
                <w:szCs w:val="24"/>
                <w:highlight w:val="none"/>
              </w:rPr>
            </w:pPr>
          </w:p>
        </w:tc>
        <w:tc>
          <w:tcPr>
            <w:tcW w:w="2329"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邮箱</w:t>
            </w:r>
          </w:p>
        </w:tc>
        <w:tc>
          <w:tcPr>
            <w:tcW w:w="3615" w:type="dxa"/>
            <w:gridSpan w:val="2"/>
            <w:vAlign w:val="center"/>
          </w:tcPr>
          <w:p>
            <w:pPr>
              <w:spacing w:line="400" w:lineRule="exact"/>
              <w:rPr>
                <w:rFonts w:hint="eastAsia" w:ascii="仿宋" w:hAnsi="仿宋" w:eastAsia="仿宋" w:cs="仿宋"/>
                <w:sz w:val="24"/>
                <w:szCs w:val="24"/>
                <w:highlight w:val="none"/>
              </w:rPr>
            </w:pPr>
          </w:p>
        </w:tc>
      </w:tr>
    </w:tbl>
    <w:p>
      <w:pPr>
        <w:spacing w:line="400" w:lineRule="exact"/>
        <w:rPr>
          <w:rFonts w:ascii="仿宋" w:hAnsi="仿宋" w:eastAsia="仿宋"/>
          <w:b/>
          <w:sz w:val="28"/>
          <w:szCs w:val="28"/>
          <w:highlight w:val="non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2"/>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